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7" w:rsidRDefault="003F18C7" w:rsidP="003F18C7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ОАО «МРСК Сибири» от 01.06.2015 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447</w:t>
      </w:r>
    </w:p>
    <w:p w:rsidR="003F18C7" w:rsidRPr="007525CF" w:rsidRDefault="00307F9B" w:rsidP="003F18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5C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</w:t>
      </w:r>
      <w:r w:rsidR="003F18C7" w:rsidRPr="007525CF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7525CF">
        <w:rPr>
          <w:rFonts w:ascii="Times New Roman" w:hAnsi="Times New Roman" w:cs="Times New Roman"/>
          <w:color w:val="auto"/>
          <w:sz w:val="24"/>
          <w:szCs w:val="24"/>
        </w:rPr>
        <w:t>ЭСК «Энергия</w:t>
      </w:r>
      <w:r w:rsidR="003F18C7" w:rsidRPr="007525C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>КОД 2.1.2 ТЕХНОЛОГИЧЕСКОЕ ПРИСОЕДИНЕНИЕ К ЭЛЕКТРИЧЕСКИМ СЕТЯМ СЕТЕВОЙ ОРГАНИЗАЦИИ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5C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C7" w:rsidRPr="007525CF" w:rsidRDefault="003F18C7" w:rsidP="003F1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7525CF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устройств) 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более 15 кВт и до </w:t>
      </w:r>
      <w:r w:rsidRPr="007525CF">
        <w:rPr>
          <w:rFonts w:ascii="Times New Roman" w:hAnsi="Times New Roman" w:cs="Times New Roman"/>
          <w:sz w:val="24"/>
          <w:szCs w:val="24"/>
        </w:rPr>
        <w:br/>
        <w:t>150 к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субъекта РФ.</w:t>
      </w:r>
      <w:r w:rsidRPr="007525C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C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525CF">
        <w:rPr>
          <w:rFonts w:ascii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525CF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устройства, составляет </w:t>
      </w:r>
      <w:r w:rsidRPr="007525CF">
        <w:rPr>
          <w:rFonts w:ascii="Times New Roman" w:hAnsi="Times New Roman" w:cs="Times New Roman"/>
          <w:b/>
          <w:sz w:val="24"/>
          <w:szCs w:val="24"/>
        </w:rPr>
        <w:t>не более</w:t>
      </w:r>
      <w:r w:rsidRPr="007525CF">
        <w:rPr>
          <w:rFonts w:ascii="Times New Roman" w:hAnsi="Times New Roman" w:cs="Times New Roman"/>
          <w:sz w:val="24"/>
          <w:szCs w:val="24"/>
        </w:rPr>
        <w:t xml:space="preserve"> </w:t>
      </w:r>
      <w:r w:rsidRPr="007525CF">
        <w:rPr>
          <w:rFonts w:ascii="Times New Roman" w:hAnsi="Times New Roman" w:cs="Times New Roman"/>
          <w:b/>
          <w:sz w:val="24"/>
          <w:szCs w:val="24"/>
        </w:rPr>
        <w:t>300 метров</w:t>
      </w:r>
      <w:r w:rsidRPr="007525CF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Pr="007525CF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Pr="007525CF">
        <w:rPr>
          <w:rFonts w:ascii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3F18C7" w:rsidRPr="007525CF" w:rsidRDefault="003F18C7" w:rsidP="003F18C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25CF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7525CF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7525CF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7525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525CF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7525CF">
        <w:rPr>
          <w:rFonts w:ascii="Times New Roman" w:hAnsi="Times New Roman" w:cs="Times New Roman"/>
          <w:b/>
          <w:sz w:val="24"/>
          <w:szCs w:val="24"/>
        </w:rPr>
        <w:t>4 месяца</w:t>
      </w:r>
      <w:r w:rsidRPr="007525CF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3F18C7" w:rsidRPr="007525CF" w:rsidRDefault="003F18C7" w:rsidP="003F18C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7525CF">
        <w:rPr>
          <w:rFonts w:ascii="Times New Roman" w:hAnsi="Times New Roman" w:cs="Times New Roman"/>
          <w:sz w:val="24"/>
          <w:szCs w:val="24"/>
        </w:rPr>
        <w:t xml:space="preserve"> – </w:t>
      </w:r>
      <w:r w:rsidRPr="007525CF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75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7525CF">
        <w:rPr>
          <w:rFonts w:ascii="Times New Roman" w:hAnsi="Times New Roman" w:cs="Times New Roman"/>
          <w:b/>
          <w:sz w:val="24"/>
          <w:szCs w:val="24"/>
        </w:rPr>
        <w:t>1 год</w:t>
      </w:r>
      <w:r w:rsidRPr="0075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525CF">
        <w:rPr>
          <w:rFonts w:ascii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3F18C7" w:rsidRPr="007525CF" w:rsidRDefault="003F18C7" w:rsidP="003F18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00" w:type="pct"/>
        <w:tblInd w:w="108" w:type="dxa"/>
        <w:tblLook w:val="00A0" w:firstRow="1" w:lastRow="0" w:firstColumn="1" w:lastColumn="0" w:noHBand="0" w:noVBand="0"/>
      </w:tblPr>
      <w:tblGrid>
        <w:gridCol w:w="375"/>
        <w:gridCol w:w="1452"/>
        <w:gridCol w:w="1493"/>
        <w:gridCol w:w="1664"/>
        <w:gridCol w:w="1417"/>
        <w:gridCol w:w="1419"/>
        <w:gridCol w:w="1643"/>
      </w:tblGrid>
      <w:tr w:rsidR="007525CF" w:rsidRPr="007525CF" w:rsidTr="003F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3F18C7" w:rsidRPr="007525CF" w:rsidRDefault="003F18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F18C7" w:rsidRPr="007525CF" w:rsidRDefault="003F18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F18C7" w:rsidRPr="007525CF" w:rsidRDefault="003F1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F18C7" w:rsidRPr="007525CF" w:rsidRDefault="003F18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F18C7" w:rsidRPr="007525CF" w:rsidRDefault="003F1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F18C7" w:rsidRPr="007525CF" w:rsidRDefault="003F18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525CF">
              <w:rPr>
                <w:rFonts w:ascii="Times New Roman" w:eastAsia="Times New Roman" w:hAnsi="Times New Roman" w:cs="Times New Roman"/>
                <w:color w:val="auto"/>
              </w:rPr>
              <w:t>Ссылка на нормативно правовой акт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  <w:bottom w:val="nil"/>
              <w:right w:val="nil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 w:themeColor="accent1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  <w:r w:rsidRPr="007525CF">
              <w:rPr>
                <w:rFonts w:ascii="Times New Roman" w:eastAsia="Times New Roman" w:hAnsi="Times New Roman" w:cs="Times New Roman"/>
              </w:rPr>
              <w:t xml:space="preserve"> Заявитель подает заявку на технологическое присоединение;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 xml:space="preserve">заявка по электронной форме на сайте </w:t>
            </w:r>
            <w:r w:rsidRPr="007525CF">
              <w:rPr>
                <w:rFonts w:ascii="Times New Roman" w:hAnsi="Times New Roman" w:cs="Times New Roman"/>
                <w:i/>
              </w:rPr>
              <w:t>ДЗО ОАО «</w:t>
            </w:r>
            <w:proofErr w:type="spellStart"/>
            <w:r w:rsidRPr="007525CF">
              <w:rPr>
                <w:rFonts w:ascii="Times New Roman" w:hAnsi="Times New Roman" w:cs="Times New Roman"/>
                <w:i/>
              </w:rPr>
              <w:t>Россети</w:t>
            </w:r>
            <w:proofErr w:type="spellEnd"/>
            <w:r w:rsidRPr="007525CF">
              <w:rPr>
                <w:rFonts w:ascii="Times New Roman" w:hAnsi="Times New Roman" w:cs="Times New Roman"/>
                <w:i/>
              </w:rPr>
              <w:t xml:space="preserve">» </w:t>
            </w:r>
            <w:r w:rsidRPr="007525CF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7525CF">
              <w:rPr>
                <w:rFonts w:ascii="Times New Roman" w:hAnsi="Times New Roman" w:cs="Times New Roman"/>
              </w:rPr>
              <w:t>ТП</w:t>
            </w:r>
            <w:proofErr w:type="gramStart"/>
            <w:r w:rsidRPr="007525CF">
              <w:rPr>
                <w:rFonts w:ascii="Times New Roman" w:hAnsi="Times New Roman" w:cs="Times New Roman"/>
              </w:rPr>
              <w:t>.р</w:t>
            </w:r>
            <w:proofErr w:type="gramEnd"/>
            <w:r w:rsidRPr="007525CF">
              <w:rPr>
                <w:rFonts w:ascii="Times New Roman" w:hAnsi="Times New Roman" w:cs="Times New Roman"/>
              </w:rPr>
              <w:t>ф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</w:t>
            </w:r>
            <w:r w:rsidRPr="007525CF">
              <w:rPr>
                <w:rFonts w:ascii="Times New Roman" w:eastAsia="Times New Roman" w:hAnsi="Times New Roman" w:cs="Times New Roman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  <w:left w:val="nil"/>
            </w:tcBorders>
            <w:hideMark/>
          </w:tcPr>
          <w:p w:rsidR="003F18C7" w:rsidRPr="007525CF" w:rsidRDefault="003F1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7525CF">
              <w:rPr>
                <w:rStyle w:val="a7"/>
                <w:rFonts w:ascii="Times New Roman" w:hAnsi="Times New Roman" w:cs="Times New Roman"/>
              </w:rPr>
              <w:footnoteReference w:id="2"/>
            </w:r>
            <w:r w:rsidRPr="007525CF">
              <w:rPr>
                <w:rFonts w:ascii="Times New Roman" w:hAnsi="Times New Roman" w:cs="Times New Roman"/>
              </w:rPr>
              <w:t>.</w:t>
            </w:r>
          </w:p>
        </w:tc>
      </w:tr>
      <w:tr w:rsidR="007525CF" w:rsidRPr="007525CF" w:rsidTr="003F18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1.2</w:t>
            </w:r>
            <w:r w:rsidRPr="007525CF">
              <w:rPr>
                <w:rFonts w:ascii="Times New Roman" w:eastAsia="Times New Roman" w:hAnsi="Times New Roman" w:cs="Times New Roman"/>
              </w:rPr>
              <w:t xml:space="preserve">. Сетевая организация направляет уведомление заявителю о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недостающих сведениях и/или документах к заявке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6 рабочих дней после получения заявки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bottom w:val="nil"/>
              <w:right w:val="nil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  <w:r w:rsidRPr="007525CF">
              <w:rPr>
                <w:rFonts w:ascii="Times New Roman" w:eastAsia="Times New Roman" w:hAnsi="Times New Roman" w:cs="Times New Roman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525C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 xml:space="preserve">15 дней со дня  получения заявки; </w:t>
            </w:r>
          </w:p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 xml:space="preserve">В случае  отсутствия сведений  (документов) 30 дней </w:t>
            </w:r>
            <w:proofErr w:type="gramStart"/>
            <w:r w:rsidRPr="007525CF">
              <w:rPr>
                <w:rFonts w:ascii="Times New Roman" w:eastAsia="Times New Roman" w:hAnsi="Times New Roman" w:cs="Times New Roman"/>
              </w:rPr>
              <w:t>с даты  получения</w:t>
            </w:r>
            <w:proofErr w:type="gramEnd"/>
            <w:r w:rsidRPr="007525CF">
              <w:rPr>
                <w:rFonts w:ascii="Times New Roman" w:eastAsia="Times New Roman" w:hAnsi="Times New Roman" w:cs="Times New Roman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2.2</w:t>
            </w:r>
            <w:r w:rsidRPr="007525CF">
              <w:rPr>
                <w:rFonts w:ascii="Times New Roman" w:eastAsia="Times New Roman" w:hAnsi="Times New Roman" w:cs="Times New Roman"/>
              </w:rPr>
              <w:t>. П</w:t>
            </w:r>
            <w:r w:rsidRPr="007525CF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30 дней со  дня получения заявителем проекта договора.</w:t>
            </w:r>
          </w:p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7525CF"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 w:rsidRPr="007525CF">
              <w:rPr>
                <w:rFonts w:ascii="Times New Roman" w:eastAsia="Times New Roman" w:hAnsi="Times New Roman" w:cs="Times New Roman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 xml:space="preserve">2.3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форма проекта договора, подписанного со стороны сетевой организации, направляется способом</w:t>
            </w:r>
            <w:r w:rsidRPr="007525C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lastRenderedPageBreak/>
              <w:t xml:space="preserve">5 рабочих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 xml:space="preserve">дней </w:t>
            </w:r>
            <w:proofErr w:type="gramStart"/>
            <w:r w:rsidRPr="007525CF">
              <w:rPr>
                <w:rFonts w:ascii="Times New Roman" w:eastAsia="Times New Roman" w:hAnsi="Times New Roman" w:cs="Times New Roman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525CF">
              <w:rPr>
                <w:rFonts w:ascii="Times New Roman" w:eastAsia="Times New Roman" w:hAnsi="Times New Roman" w:cs="Times New Roman"/>
              </w:rPr>
              <w:t xml:space="preserve"> ТП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 xml:space="preserve">Пункт 15 </w:t>
            </w:r>
            <w:r w:rsidRPr="007525CF">
              <w:rPr>
                <w:rFonts w:ascii="Times New Roman" w:hAnsi="Times New Roman" w:cs="Times New Roman"/>
              </w:rPr>
              <w:lastRenderedPageBreak/>
              <w:t xml:space="preserve">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2.4</w:t>
            </w:r>
            <w:r w:rsidRPr="007525CF">
              <w:rPr>
                <w:rFonts w:ascii="Times New Roman" w:eastAsia="Times New Roman" w:hAnsi="Times New Roman" w:cs="Times New Roman"/>
              </w:rPr>
              <w:t>. </w:t>
            </w:r>
            <w:r w:rsidRPr="007525CF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 xml:space="preserve">не позднее 2 рабочих дней </w:t>
            </w:r>
            <w:proofErr w:type="gramStart"/>
            <w:r w:rsidRPr="007525CF"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 w:rsidRPr="007525CF">
              <w:rPr>
                <w:rFonts w:ascii="Times New Roman" w:eastAsia="Times New Roman" w:hAnsi="Times New Roman" w:cs="Times New Roman"/>
              </w:rPr>
              <w:t xml:space="preserve"> договора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bottom w:val="nil"/>
              <w:right w:val="nil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7525CF">
              <w:rPr>
                <w:rFonts w:ascii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lastRenderedPageBreak/>
              <w:t xml:space="preserve">Заключенный договор об осуществлении технологического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3.1</w:t>
            </w:r>
            <w:r w:rsidRPr="007525CF">
              <w:rPr>
                <w:rFonts w:ascii="Times New Roman" w:eastAsia="Times New Roman" w:hAnsi="Times New Roman" w:cs="Times New Roman"/>
              </w:rPr>
              <w:t xml:space="preserve">. Оплата услуг по договору об осуществлении технологического </w:t>
            </w:r>
            <w:r w:rsidRPr="007525CF">
              <w:rPr>
                <w:rFonts w:ascii="Times New Roman" w:eastAsia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</w:t>
            </w:r>
            <w:r w:rsidRPr="007525CF">
              <w:rPr>
                <w:rFonts w:ascii="Times New Roman" w:hAnsi="Times New Roman" w:cs="Times New Roman"/>
              </w:rPr>
              <w:lastRenderedPageBreak/>
              <w:t>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  <w:r w:rsidRPr="007525CF">
              <w:rPr>
                <w:rFonts w:ascii="Times New Roman" w:eastAsia="Times New Roman" w:hAnsi="Times New Roman" w:cs="Times New Roman"/>
              </w:rPr>
              <w:t>. </w:t>
            </w:r>
            <w:r w:rsidRPr="007525CF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3.3</w:t>
            </w:r>
            <w:r w:rsidRPr="007525CF">
              <w:rPr>
                <w:rFonts w:ascii="Times New Roman" w:eastAsia="Times New Roman" w:hAnsi="Times New Roman" w:cs="Times New Roman"/>
              </w:rPr>
              <w:t>. </w:t>
            </w:r>
            <w:r w:rsidRPr="007525C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:rsidR="003F18C7" w:rsidRPr="007525CF" w:rsidRDefault="003F1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3.4</w:t>
            </w:r>
            <w:r w:rsidRPr="007525CF">
              <w:rPr>
                <w:rFonts w:ascii="Times New Roman" w:eastAsia="Times New Roman" w:hAnsi="Times New Roman" w:cs="Times New Roman"/>
              </w:rPr>
              <w:t>.</w:t>
            </w:r>
            <w:r w:rsidRPr="007525CF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right w:val="nil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left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  <w:r w:rsidRPr="007525C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</w:t>
            </w:r>
            <w:r w:rsidRPr="007525CF">
              <w:rPr>
                <w:rFonts w:ascii="Times New Roman" w:hAnsi="Times New Roman" w:cs="Times New Roman"/>
              </w:rPr>
              <w:lastRenderedPageBreak/>
              <w:t>проведения осмотра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F219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3F18C7" w:rsidRPr="007525CF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F18C7" w:rsidRPr="007525CF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</w:t>
            </w:r>
            <w:r w:rsidRPr="007525CF">
              <w:rPr>
                <w:rFonts w:ascii="Times New Roman" w:hAnsi="Times New Roman" w:cs="Times New Roman"/>
              </w:rPr>
              <w:lastRenderedPageBreak/>
              <w:t>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  <w:r w:rsidRPr="007525C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F219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3F18C7" w:rsidRPr="007525CF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F18C7" w:rsidRPr="007525CF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7525CF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52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  <w:r w:rsidRPr="007525C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F219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3F18C7" w:rsidRPr="007525CF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F18C7" w:rsidRPr="007525C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t>Раздел Х</w:t>
            </w:r>
            <w:r w:rsidRPr="007525CF">
              <w:t xml:space="preserve"> </w:t>
            </w:r>
            <w:r w:rsidRPr="007525CF">
              <w:rPr>
                <w:rFonts w:ascii="Times New Roman" w:eastAsia="Times New Roman" w:hAnsi="Times New Roman" w:cs="Times New Roman"/>
              </w:rPr>
              <w:t>Основ функционирования розничных рынков электрической энергии</w:t>
            </w:r>
            <w:r w:rsidRPr="007525CF">
              <w:rPr>
                <w:rStyle w:val="a7"/>
                <w:rFonts w:ascii="Times New Roman" w:eastAsia="Times New Roman" w:hAnsi="Times New Roman" w:cs="Times New Roman"/>
              </w:rPr>
              <w:footnoteReference w:id="3"/>
            </w: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  <w:r w:rsidRPr="007525CF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 xml:space="preserve">4.4. </w:t>
            </w:r>
            <w:r w:rsidRPr="007525CF">
              <w:rPr>
                <w:rFonts w:ascii="Times New Roman" w:hAnsi="Times New Roman" w:cs="Times New Roman"/>
              </w:rPr>
              <w:t xml:space="preserve">Заявитель возвращает в сетевую организацию один </w:t>
            </w:r>
            <w:r w:rsidRPr="007525CF">
              <w:rPr>
                <w:rFonts w:ascii="Times New Roman" w:hAnsi="Times New Roman" w:cs="Times New Roman"/>
              </w:rPr>
              <w:lastRenderedPageBreak/>
              <w:t>экземпляр подписанного со своей стороны акта о выполнении технических условий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технических условий в </w:t>
            </w:r>
            <w:r w:rsidRPr="007525CF">
              <w:rPr>
                <w:rFonts w:ascii="Times New Roman" w:hAnsi="Times New Roman" w:cs="Times New Roman"/>
              </w:rPr>
              <w:lastRenderedPageBreak/>
              <w:t xml:space="preserve">письменной форме направляется  </w:t>
            </w:r>
            <w:r w:rsidRPr="007525CF">
              <w:rPr>
                <w:rFonts w:ascii="Times New Roman" w:eastAsia="Times New Roman" w:hAnsi="Times New Roman" w:cs="Times New Roman"/>
              </w:rPr>
              <w:t>способом</w:t>
            </w:r>
            <w:r w:rsidRPr="007525CF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>В день проведения осмотра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3F18C7" w:rsidRPr="007525CF" w:rsidRDefault="003F18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5.1</w:t>
            </w:r>
            <w:r w:rsidRPr="007525CF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  <w:bottom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5.2.</w:t>
            </w:r>
            <w:r w:rsidRPr="007525CF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>Акт разграничения эксплуатацион</w:t>
            </w:r>
            <w:r w:rsidRPr="007525CF">
              <w:rPr>
                <w:rFonts w:ascii="Times New Roman" w:hAnsi="Times New Roman" w:cs="Times New Roman"/>
              </w:rPr>
              <w:lastRenderedPageBreak/>
              <w:t>ной ответственности сторон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7525CF">
              <w:rPr>
                <w:rFonts w:ascii="Times New Roman" w:eastAsia="Times New Roman" w:hAnsi="Times New Roman" w:cs="Times New Roman"/>
              </w:rPr>
              <w:t>способом</w:t>
            </w:r>
            <w:r w:rsidRPr="007525C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7525CF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525CF" w:rsidRPr="007525CF" w:rsidTr="003F18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3F18C7" w:rsidRPr="007525CF" w:rsidRDefault="003F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3F18C7" w:rsidRPr="007525CF" w:rsidRDefault="003F18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CF">
              <w:rPr>
                <w:rFonts w:ascii="Times New Roman" w:eastAsia="Times New Roman" w:hAnsi="Times New Roman" w:cs="Times New Roman"/>
                <w:b/>
                <w:bCs/>
              </w:rPr>
              <w:t>5.3.</w:t>
            </w:r>
            <w:r w:rsidRPr="007525CF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5C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il"/>
            </w:tcBorders>
            <w:hideMark/>
          </w:tcPr>
          <w:p w:rsidR="003F18C7" w:rsidRPr="007525CF" w:rsidRDefault="003F18C7">
            <w:pPr>
              <w:autoSpaceDE w:val="0"/>
              <w:autoSpaceDN w:val="0"/>
              <w:adjustRightInd w:val="0"/>
              <w:outlineLvl w:val="0"/>
            </w:pPr>
            <w:r w:rsidRPr="007525CF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F18C7" w:rsidRPr="007525CF" w:rsidRDefault="003F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5CF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7525C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525C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5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C7" w:rsidRPr="007525C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8F" w:rsidRPr="0034698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25CF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7525CF">
        <w:rPr>
          <w:rFonts w:ascii="Times New Roman" w:hAnsi="Times New Roman" w:cs="Times New Roman"/>
          <w:sz w:val="24"/>
          <w:szCs w:val="24"/>
        </w:rPr>
        <w:t xml:space="preserve">ы </w:t>
      </w:r>
      <w:r w:rsidR="001F592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F5923">
        <w:rPr>
          <w:rFonts w:ascii="Times New Roman" w:hAnsi="Times New Roman" w:cs="Times New Roman"/>
          <w:sz w:val="24"/>
          <w:szCs w:val="24"/>
        </w:rPr>
        <w:t xml:space="preserve"> ЭСК «</w:t>
      </w:r>
      <w:r w:rsidR="001F5923" w:rsidRPr="0034698F">
        <w:rPr>
          <w:rFonts w:ascii="Times New Roman" w:hAnsi="Times New Roman" w:cs="Times New Roman"/>
          <w:sz w:val="24"/>
          <w:szCs w:val="24"/>
        </w:rPr>
        <w:t>Энергия»</w:t>
      </w:r>
      <w:r w:rsidR="0034698F" w:rsidRPr="0034698F">
        <w:rPr>
          <w:rFonts w:ascii="Times New Roman" w:hAnsi="Times New Roman" w:cs="Times New Roman"/>
          <w:sz w:val="24"/>
          <w:szCs w:val="24"/>
        </w:rPr>
        <w:t>:</w:t>
      </w:r>
      <w:r w:rsidR="0034698F">
        <w:rPr>
          <w:rFonts w:ascii="Times New Roman" w:hAnsi="Times New Roman" w:cs="Times New Roman"/>
          <w:sz w:val="24"/>
          <w:szCs w:val="24"/>
        </w:rPr>
        <w:t xml:space="preserve"> </w:t>
      </w:r>
      <w:r w:rsidR="0034698F" w:rsidRPr="0034698F">
        <w:rPr>
          <w:rFonts w:ascii="Times New Roman" w:hAnsi="Times New Roman" w:cs="Times New Roman"/>
        </w:rPr>
        <w:t>eskenergia@yandex.ru</w:t>
      </w:r>
    </w:p>
    <w:p w:rsidR="003F18C7" w:rsidRPr="0034698F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8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4698F" w:rsidRPr="0034698F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34698F">
        <w:rPr>
          <w:rFonts w:ascii="Times New Roman" w:hAnsi="Times New Roman" w:cs="Times New Roman"/>
          <w:sz w:val="24"/>
          <w:szCs w:val="24"/>
        </w:rPr>
        <w:t xml:space="preserve">обслуживания клиентов: </w:t>
      </w:r>
      <w:r w:rsidR="0034698F" w:rsidRPr="0034698F">
        <w:rPr>
          <w:rFonts w:ascii="Times New Roman" w:hAnsi="Times New Roman" w:cs="Times New Roman"/>
          <w:sz w:val="24"/>
          <w:szCs w:val="24"/>
        </w:rPr>
        <w:t xml:space="preserve">663020, Красноярский край, </w:t>
      </w:r>
      <w:proofErr w:type="spellStart"/>
      <w:r w:rsidR="0034698F" w:rsidRPr="0034698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34698F" w:rsidRPr="0034698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4698F" w:rsidRPr="003469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4698F" w:rsidRPr="0034698F">
        <w:rPr>
          <w:rFonts w:ascii="Times New Roman" w:hAnsi="Times New Roman" w:cs="Times New Roman"/>
          <w:sz w:val="24"/>
          <w:szCs w:val="24"/>
        </w:rPr>
        <w:t xml:space="preserve"> Емельяново, </w:t>
      </w:r>
      <w:r w:rsidR="0034698F">
        <w:rPr>
          <w:rFonts w:ascii="Times New Roman" w:hAnsi="Times New Roman" w:cs="Times New Roman"/>
          <w:sz w:val="24"/>
          <w:szCs w:val="24"/>
        </w:rPr>
        <w:t>ул. Декабристов, 172.</w:t>
      </w:r>
      <w:bookmarkStart w:id="0" w:name="_GoBack"/>
      <w:bookmarkEnd w:id="0"/>
    </w:p>
    <w:sectPr w:rsidR="003F18C7" w:rsidRPr="0034698F" w:rsidSect="00B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1" w:rsidRDefault="00F21911" w:rsidP="003F18C7">
      <w:pPr>
        <w:spacing w:after="0" w:line="240" w:lineRule="auto"/>
      </w:pPr>
      <w:r>
        <w:separator/>
      </w:r>
    </w:p>
  </w:endnote>
  <w:endnote w:type="continuationSeparator" w:id="0">
    <w:p w:rsidR="00F21911" w:rsidRDefault="00F21911" w:rsidP="003F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1" w:rsidRDefault="00F21911" w:rsidP="003F18C7">
      <w:pPr>
        <w:spacing w:after="0" w:line="240" w:lineRule="auto"/>
      </w:pPr>
      <w:r>
        <w:separator/>
      </w:r>
    </w:p>
  </w:footnote>
  <w:footnote w:type="continuationSeparator" w:id="0">
    <w:p w:rsidR="00F21911" w:rsidRDefault="00F21911" w:rsidP="003F18C7">
      <w:pPr>
        <w:spacing w:after="0" w:line="240" w:lineRule="auto"/>
      </w:pPr>
      <w:r>
        <w:continuationSeparator/>
      </w:r>
    </w:p>
  </w:footnote>
  <w:footnote w:id="1">
    <w:p w:rsidR="003F18C7" w:rsidRPr="00307F9B" w:rsidRDefault="003F18C7" w:rsidP="003F18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ТП Общества размещен в разделе «Клиентам» - «Подключение к электрическим сетям» - «Плата за подключение к сетям» на сайте компании </w:t>
      </w:r>
      <w:r w:rsidR="007525CF" w:rsidRPr="007525CF">
        <w:rPr>
          <w:rFonts w:ascii="Times New Roman" w:hAnsi="Times New Roman" w:cs="Times New Roman"/>
          <w:sz w:val="24"/>
          <w:szCs w:val="24"/>
        </w:rPr>
        <w:t>http://eskenergia.ru</w:t>
      </w:r>
    </w:p>
  </w:footnote>
  <w:footnote w:id="2">
    <w:p w:rsidR="003F18C7" w:rsidRDefault="003F18C7" w:rsidP="003F18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3F18C7" w:rsidRDefault="003F18C7" w:rsidP="003F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7"/>
    <w:rsid w:val="000A4CDB"/>
    <w:rsid w:val="00146253"/>
    <w:rsid w:val="001F5923"/>
    <w:rsid w:val="00307F9B"/>
    <w:rsid w:val="0034698F"/>
    <w:rsid w:val="003F18C7"/>
    <w:rsid w:val="00706ABC"/>
    <w:rsid w:val="007525CF"/>
    <w:rsid w:val="007E2A17"/>
    <w:rsid w:val="00B84C20"/>
    <w:rsid w:val="00BF0016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F18C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F18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C7"/>
    <w:rPr>
      <w:sz w:val="20"/>
      <w:szCs w:val="20"/>
    </w:rPr>
  </w:style>
  <w:style w:type="paragraph" w:styleId="a6">
    <w:name w:val="List Paragraph"/>
    <w:basedOn w:val="a"/>
    <w:uiPriority w:val="34"/>
    <w:qFormat/>
    <w:rsid w:val="003F18C7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F18C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F18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F18C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F18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C7"/>
    <w:rPr>
      <w:sz w:val="20"/>
      <w:szCs w:val="20"/>
    </w:rPr>
  </w:style>
  <w:style w:type="paragraph" w:styleId="a6">
    <w:name w:val="List Paragraph"/>
    <w:basedOn w:val="a"/>
    <w:uiPriority w:val="34"/>
    <w:qFormat/>
    <w:rsid w:val="003F18C7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F18C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F18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2017-10-31T09:24:00Z</dcterms:created>
  <dcterms:modified xsi:type="dcterms:W3CDTF">2017-10-31T09:24:00Z</dcterms:modified>
</cp:coreProperties>
</file>