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7" w:rsidRDefault="00D12D2E" w:rsidP="00380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12D2E">
        <w:rPr>
          <w:rFonts w:ascii="Times New Roman" w:eastAsiaTheme="majorEastAsia" w:hAnsi="Times New Roman" w:cs="Times New Roman"/>
          <w:b/>
          <w:bCs/>
          <w:sz w:val="24"/>
          <w:szCs w:val="24"/>
        </w:rPr>
        <w:t>ПАСПОРТ УСЛУГИ (ПРОЦЕССА) ООО ЭСК «Энергия»</w:t>
      </w:r>
    </w:p>
    <w:p w:rsidR="00D12D2E" w:rsidRDefault="00D12D2E" w:rsidP="00380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2.1.1 ТЕХНОЛОГИЧЕСКОЕ ПРИСОЕДИНЕНИЕ К ЭЛЕКТРИЧЕСКИМ СЕТЯМ СЕТЕВОЙ ОРГАНИЗАЦИИ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устройств физических лиц с максимальной мощностью до 15 кВт</w:t>
      </w:r>
    </w:p>
    <w:p w:rsidR="00380D57" w:rsidRDefault="00380D57" w:rsidP="00380D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0D57" w:rsidRDefault="00380D57" w:rsidP="0038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(далее - заявитель)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не более 500 метров в сельской местности.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субъекта РФ.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намерение заявителя присоединения впервые вводимых в эксплуатацию,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максимальная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изменяется.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380D57" w:rsidRDefault="00380D57" w:rsidP="00380D5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заключения договора;</w:t>
      </w:r>
    </w:p>
    <w:p w:rsidR="00380D57" w:rsidRDefault="00380D57" w:rsidP="00380D5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иных случаях – 6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несоблюдении всех вышеуказанных условий - 1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380D57" w:rsidRDefault="00380D57" w:rsidP="00380D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00" w:type="pct"/>
        <w:tblInd w:w="108" w:type="dxa"/>
        <w:tblLook w:val="00A0" w:firstRow="1" w:lastRow="0" w:firstColumn="1" w:lastColumn="0" w:noHBand="0" w:noVBand="0"/>
      </w:tblPr>
      <w:tblGrid>
        <w:gridCol w:w="438"/>
        <w:gridCol w:w="2190"/>
        <w:gridCol w:w="2109"/>
        <w:gridCol w:w="2826"/>
        <w:gridCol w:w="2243"/>
        <w:gridCol w:w="2087"/>
        <w:gridCol w:w="2597"/>
      </w:tblGrid>
      <w:tr w:rsidR="00380D57" w:rsidTr="00D1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380D57" w:rsidRDefault="00380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80D57" w:rsidRDefault="00380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7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80D57" w:rsidRDefault="00380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80D57" w:rsidRDefault="00380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7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80D57" w:rsidRDefault="00380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380D57" w:rsidRDefault="00380D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89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380D57" w:rsidRDefault="00380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top w:val="double" w:sz="4" w:space="0" w:color="4F81BD" w:themeColor="accent1"/>
              <w:right w:val="nil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top w:val="double" w:sz="4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728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double" w:sz="4" w:space="0" w:color="4F81BD" w:themeColor="accent1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1.1.</w:t>
            </w:r>
            <w:r>
              <w:rPr>
                <w:rFonts w:ascii="Times New Roman" w:eastAsia="Times New Roman" w:hAnsi="Times New Roman" w:cs="Times New Roman"/>
              </w:rPr>
              <w:t xml:space="preserve"> Заявитель подает заявку на технологическое присоединение;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обращение с заявкой заказным письмом с уведомлением,</w:t>
            </w:r>
          </w:p>
          <w:p w:rsidR="00380D57" w:rsidRDefault="00380D57" w:rsidP="00D12D2E">
            <w:pPr>
              <w:pStyle w:val="a6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заявка по электронной форме на сайте </w:t>
            </w:r>
            <w:r w:rsidR="00D12D2E">
              <w:rPr>
                <w:rFonts w:ascii="Times New Roman" w:eastAsia="Times New Roman" w:hAnsi="Times New Roman" w:cs="Times New Roman"/>
              </w:rPr>
              <w:t xml:space="preserve">сетевой организации </w:t>
            </w:r>
            <w:r>
              <w:rPr>
                <w:rFonts w:ascii="Times New Roman" w:eastAsia="Times New Roman" w:hAnsi="Times New Roman" w:cs="Times New Roman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double" w:sz="4" w:space="0" w:color="4F81BD" w:themeColor="accent1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896" w:type="pct"/>
            <w:tcBorders>
              <w:top w:val="double" w:sz="4" w:space="0" w:color="4F81BD" w:themeColor="accent1"/>
              <w:left w:val="nil"/>
            </w:tcBorders>
            <w:hideMark/>
          </w:tcPr>
          <w:p w:rsidR="00380D57" w:rsidRDefault="0038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 8-10, 14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0D57" w:rsidTr="00D12D2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top w:val="nil"/>
              <w:bottom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1.2</w:t>
            </w:r>
            <w:r>
              <w:rPr>
                <w:rFonts w:ascii="Times New Roman" w:eastAsia="Times New Roman" w:hAnsi="Times New Roman" w:cs="Times New Roman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</w:rPr>
              <w:t>6 рабочих дней после получения заявки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vMerge w:val="restart"/>
            <w:tcBorders>
              <w:bottom w:val="nil"/>
              <w:right w:val="nil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Merge w:val="restart"/>
            <w:tcBorders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присоединения к электрическим </w:t>
            </w:r>
            <w:r>
              <w:rPr>
                <w:rFonts w:ascii="Times New Roman" w:hAnsi="Times New Roman" w:cs="Times New Roman"/>
              </w:rPr>
              <w:lastRenderedPageBreak/>
              <w:t>сетям</w:t>
            </w:r>
          </w:p>
        </w:tc>
        <w:tc>
          <w:tcPr>
            <w:tcW w:w="728" w:type="pct"/>
            <w:vMerge w:val="restart"/>
            <w:tcBorders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 xml:space="preserve">. Направление (выдача при очном посещении офиса обслуживания) сетевой организацией проекта договора об осуществлении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технологического присоединения  с  техническими условиями</w:t>
            </w: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15 дней со дня  получения заявки; </w:t>
            </w:r>
          </w:p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 отсутствия сведений  (документов) 30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даты  получения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недостающих сведений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2.2</w:t>
            </w:r>
            <w:r>
              <w:rPr>
                <w:rFonts w:ascii="Times New Roman" w:eastAsia="Times New Roman" w:hAnsi="Times New Roman" w:cs="Times New Roman"/>
              </w:rPr>
              <w:t>. П</w:t>
            </w:r>
            <w:r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дней со  дня получения заявителем проекта договора.</w:t>
            </w:r>
          </w:p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ненаправления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заявителя мотивированного отказа от подписания проекта договора</w:t>
            </w: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присоединения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2.4</w:t>
            </w:r>
            <w:r>
              <w:rPr>
                <w:rFonts w:ascii="Times New Roman" w:eastAsia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позднее 2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договора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vMerge w:val="restart"/>
            <w:tcBorders>
              <w:bottom w:val="nil"/>
              <w:right w:val="nil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Merge w:val="restart"/>
            <w:tcBorders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28" w:type="pct"/>
            <w:vMerge w:val="restart"/>
            <w:tcBorders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3.1</w:t>
            </w:r>
            <w:r>
              <w:rPr>
                <w:rFonts w:ascii="Times New Roman" w:eastAsia="Times New Roman" w:hAnsi="Times New Roman" w:cs="Times New Roman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74" w:type="pct"/>
            <w:tcBorders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15, 17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3.2</w:t>
            </w:r>
            <w:r>
              <w:rPr>
                <w:rFonts w:ascii="Times New Roman" w:eastAsia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96" w:type="pct"/>
            <w:vMerge w:val="restar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15, 16.1, 18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3.3</w:t>
            </w:r>
            <w:r>
              <w:rPr>
                <w:rFonts w:ascii="Times New Roman" w:eastAsia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74" w:type="pct"/>
            <w:tcBorders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:rsidR="00380D57" w:rsidRDefault="0038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vAlign w:val="center"/>
            <w:hideMark/>
          </w:tcPr>
          <w:p w:rsidR="00380D57" w:rsidRDefault="0038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3.4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</w:t>
            </w:r>
            <w:r>
              <w:rPr>
                <w:rFonts w:ascii="Times New Roman" w:hAnsi="Times New Roman" w:cs="Times New Roman"/>
              </w:rPr>
              <w:lastRenderedPageBreak/>
              <w:t>условий с необходимым пакетом документов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технических условий </w:t>
            </w:r>
            <w:r>
              <w:rPr>
                <w:rFonts w:ascii="Times New Roman" w:hAnsi="Times New Roman" w:cs="Times New Roman"/>
              </w:rPr>
              <w:lastRenderedPageBreak/>
              <w:t xml:space="preserve">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vMerge w:val="restart"/>
            <w:tcBorders>
              <w:right w:val="nil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Merge w:val="restart"/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28" w:type="pct"/>
            <w:tcBorders>
              <w:left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4.1.</w:t>
            </w:r>
            <w:r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D36A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380D57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380D5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380D57" w:rsidRDefault="0038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</w:t>
            </w:r>
            <w:r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4.2.</w:t>
            </w:r>
            <w:r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D36A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380D57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380D5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380D57" w:rsidRDefault="0038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4.3.</w:t>
            </w:r>
            <w:r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D36A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380D57">
                <w:rPr>
                  <w:rStyle w:val="a3"/>
                  <w:rFonts w:ascii="Times New Roman" w:hAnsi="Times New Roman" w:cs="Times New Roman"/>
                  <w:color w:val="auto"/>
                </w:rPr>
                <w:t>Акт</w:t>
              </w:r>
            </w:hyperlink>
            <w:r w:rsidR="00380D57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 функционирования розничных рынков электрической энергии</w:t>
            </w:r>
            <w:r>
              <w:rPr>
                <w:rStyle w:val="a7"/>
                <w:rFonts w:ascii="Times New Roman" w:eastAsia="Times New Roman" w:hAnsi="Times New Roman" w:cs="Times New Roman"/>
              </w:rPr>
              <w:footnoteReference w:id="2"/>
            </w: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  <w:hideMark/>
          </w:tcPr>
          <w:p w:rsidR="00380D57" w:rsidRDefault="0038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4.3.</w:t>
            </w:r>
            <w:r>
              <w:rPr>
                <w:rFonts w:ascii="Times New Roman" w:hAnsi="Times New Roman" w:cs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380D57" w:rsidRDefault="00380D57">
            <w:pPr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380D57" w:rsidRDefault="0038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4.4. </w:t>
            </w:r>
            <w:r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>
              <w:rPr>
                <w:rFonts w:ascii="Times New Roman" w:eastAsia="Times New Roman" w:hAnsi="Times New Roman" w:cs="Times New Roman"/>
              </w:rPr>
              <w:t>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объектов заявителя к электрическим </w:t>
            </w:r>
            <w:r>
              <w:rPr>
                <w:rFonts w:ascii="Times New Roman" w:hAnsi="Times New Roman" w:cs="Times New Roman"/>
              </w:rPr>
              <w:lastRenderedPageBreak/>
              <w:t>сетям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5.1</w:t>
            </w:r>
            <w:r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</w:t>
            </w:r>
            <w:r>
              <w:rPr>
                <w:rFonts w:ascii="Times New Roman" w:hAnsi="Times New Roman" w:cs="Times New Roman"/>
              </w:rPr>
              <w:lastRenderedPageBreak/>
              <w:t>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  <w:bottom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right w:val="nil"/>
            </w:tcBorders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vAlign w:val="center"/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5.2.</w:t>
            </w:r>
            <w:r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74" w:type="pct"/>
            <w:tcBorders>
              <w:left w:val="nil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>
              <w:rPr>
                <w:rFonts w:ascii="Times New Roman" w:eastAsia="Times New Roman" w:hAnsi="Times New Roman" w:cs="Times New Roman"/>
              </w:rPr>
              <w:t>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6" w:type="pct"/>
            <w:tcBorders>
              <w:lef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380D57" w:rsidTr="00D12D2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380D57" w:rsidRDefault="00380D5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pct"/>
            <w:tcBorders>
              <w:top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380D57" w:rsidRDefault="00380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5.3.</w:t>
            </w:r>
            <w:r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tcBorders>
              <w:top w:val="nil"/>
            </w:tcBorders>
            <w:hideMark/>
          </w:tcPr>
          <w:p w:rsidR="00380D57" w:rsidRDefault="00380D57">
            <w:pPr>
              <w:autoSpaceDE w:val="0"/>
              <w:autoSpaceDN w:val="0"/>
              <w:adjustRightInd w:val="0"/>
              <w:outlineLvl w:val="0"/>
            </w:pPr>
            <w:r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380D57" w:rsidRDefault="0038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D12D2E" w:rsidRPr="00D12D2E" w:rsidRDefault="00D12D2E" w:rsidP="00D1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D2E">
        <w:rPr>
          <w:rFonts w:ascii="Times New Roman" w:hAnsi="Times New Roman" w:cs="Times New Roman"/>
          <w:b/>
          <w:sz w:val="24"/>
          <w:szCs w:val="24"/>
        </w:rPr>
        <w:t>Адрес электронной почт</w:t>
      </w:r>
      <w:proofErr w:type="gramStart"/>
      <w:r w:rsidRPr="00D12D2E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Pr="00D12D2E">
        <w:rPr>
          <w:rFonts w:ascii="Times New Roman" w:hAnsi="Times New Roman" w:cs="Times New Roman"/>
          <w:b/>
          <w:sz w:val="24"/>
          <w:szCs w:val="24"/>
        </w:rPr>
        <w:t xml:space="preserve"> ЭСК «Энергия»: eskenergia@yandex.ru</w:t>
      </w:r>
    </w:p>
    <w:p w:rsidR="003400E6" w:rsidRPr="00D12D2E" w:rsidRDefault="00D12D2E" w:rsidP="00D12D2E">
      <w:pPr>
        <w:autoSpaceDE w:val="0"/>
        <w:autoSpaceDN w:val="0"/>
        <w:adjustRightInd w:val="0"/>
        <w:spacing w:after="0" w:line="240" w:lineRule="auto"/>
        <w:jc w:val="both"/>
      </w:pPr>
      <w:r w:rsidRPr="00D12D2E">
        <w:rPr>
          <w:rFonts w:ascii="Times New Roman" w:hAnsi="Times New Roman" w:cs="Times New Roman"/>
          <w:b/>
          <w:sz w:val="24"/>
          <w:szCs w:val="24"/>
        </w:rPr>
        <w:t xml:space="preserve">Адрес центра обслуживания </w:t>
      </w:r>
      <w:bookmarkStart w:id="0" w:name="_GoBack"/>
      <w:bookmarkEnd w:id="0"/>
      <w:r w:rsidRPr="00D12D2E">
        <w:rPr>
          <w:rFonts w:ascii="Times New Roman" w:hAnsi="Times New Roman" w:cs="Times New Roman"/>
          <w:b/>
          <w:sz w:val="24"/>
          <w:szCs w:val="24"/>
        </w:rPr>
        <w:t xml:space="preserve">клиентов: 663020, Красноярский край, </w:t>
      </w:r>
      <w:proofErr w:type="spellStart"/>
      <w:r w:rsidRPr="00D12D2E">
        <w:rPr>
          <w:rFonts w:ascii="Times New Roman" w:hAnsi="Times New Roman" w:cs="Times New Roman"/>
          <w:b/>
          <w:sz w:val="24"/>
          <w:szCs w:val="24"/>
        </w:rPr>
        <w:t>Емельяновский</w:t>
      </w:r>
      <w:proofErr w:type="spellEnd"/>
      <w:r w:rsidRPr="00D12D2E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D12D2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D12D2E">
        <w:rPr>
          <w:rFonts w:ascii="Times New Roman" w:hAnsi="Times New Roman" w:cs="Times New Roman"/>
          <w:b/>
          <w:sz w:val="24"/>
          <w:szCs w:val="24"/>
        </w:rPr>
        <w:t xml:space="preserve"> Емельяново, ул. Декабристов, 172.</w:t>
      </w:r>
    </w:p>
    <w:sectPr w:rsidR="003400E6" w:rsidRPr="00D12D2E" w:rsidSect="00380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B1" w:rsidRDefault="00D36AB1" w:rsidP="00380D57">
      <w:pPr>
        <w:spacing w:after="0" w:line="240" w:lineRule="auto"/>
      </w:pPr>
      <w:r>
        <w:separator/>
      </w:r>
    </w:p>
  </w:endnote>
  <w:endnote w:type="continuationSeparator" w:id="0">
    <w:p w:rsidR="00D36AB1" w:rsidRDefault="00D36AB1" w:rsidP="0038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B1" w:rsidRDefault="00D36AB1" w:rsidP="00380D57">
      <w:pPr>
        <w:spacing w:after="0" w:line="240" w:lineRule="auto"/>
      </w:pPr>
      <w:r>
        <w:separator/>
      </w:r>
    </w:p>
  </w:footnote>
  <w:footnote w:type="continuationSeparator" w:id="0">
    <w:p w:rsidR="00D36AB1" w:rsidRDefault="00D36AB1" w:rsidP="00380D57">
      <w:pPr>
        <w:spacing w:after="0" w:line="240" w:lineRule="auto"/>
      </w:pPr>
      <w:r>
        <w:continuationSeparator/>
      </w:r>
    </w:p>
  </w:footnote>
  <w:footnote w:id="1">
    <w:p w:rsidR="00380D57" w:rsidRDefault="00380D57" w:rsidP="00380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380D57" w:rsidRDefault="00380D57" w:rsidP="0038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57"/>
    <w:rsid w:val="001077AA"/>
    <w:rsid w:val="003400E6"/>
    <w:rsid w:val="00380D57"/>
    <w:rsid w:val="009D7850"/>
    <w:rsid w:val="00D12D2E"/>
    <w:rsid w:val="00D36AB1"/>
    <w:rsid w:val="00D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80D5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80D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0D57"/>
    <w:rPr>
      <w:sz w:val="20"/>
      <w:szCs w:val="20"/>
    </w:rPr>
  </w:style>
  <w:style w:type="paragraph" w:styleId="a6">
    <w:name w:val="List Paragraph"/>
    <w:basedOn w:val="a"/>
    <w:uiPriority w:val="34"/>
    <w:qFormat/>
    <w:rsid w:val="00380D57"/>
    <w:pPr>
      <w:ind w:left="720"/>
      <w:contextualSpacing/>
    </w:pPr>
  </w:style>
  <w:style w:type="paragraph" w:customStyle="1" w:styleId="ConsPlusNonformat">
    <w:name w:val="ConsPlusNonformat"/>
    <w:uiPriority w:val="99"/>
    <w:rsid w:val="00380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0D5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80D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80D5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80D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0D57"/>
    <w:rPr>
      <w:sz w:val="20"/>
      <w:szCs w:val="20"/>
    </w:rPr>
  </w:style>
  <w:style w:type="paragraph" w:styleId="a6">
    <w:name w:val="List Paragraph"/>
    <w:basedOn w:val="a"/>
    <w:uiPriority w:val="34"/>
    <w:qFormat/>
    <w:rsid w:val="00380D57"/>
    <w:pPr>
      <w:ind w:left="720"/>
      <w:contextualSpacing/>
    </w:pPr>
  </w:style>
  <w:style w:type="paragraph" w:customStyle="1" w:styleId="ConsPlusNonformat">
    <w:name w:val="ConsPlusNonformat"/>
    <w:uiPriority w:val="99"/>
    <w:rsid w:val="00380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0D5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80D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dcterms:created xsi:type="dcterms:W3CDTF">2017-10-31T09:52:00Z</dcterms:created>
  <dcterms:modified xsi:type="dcterms:W3CDTF">2017-10-31T09:54:00Z</dcterms:modified>
</cp:coreProperties>
</file>